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52" w:rsidRDefault="00DF1CB4" w:rsidP="00DF1CB4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F1CB4">
        <w:rPr>
          <w:rFonts w:ascii="Arial" w:eastAsia="Times New Roman" w:hAnsi="Arial" w:cs="Arial"/>
          <w:sz w:val="20"/>
          <w:szCs w:val="20"/>
          <w:lang w:eastAsia="sl-SI"/>
        </w:rPr>
        <w:t xml:space="preserve">Na podlagi 110., 119. in 268. člena Zakona </w:t>
      </w:r>
      <w:r>
        <w:rPr>
          <w:rFonts w:ascii="Arial" w:eastAsia="Times New Roman" w:hAnsi="Arial" w:cs="Arial"/>
          <w:sz w:val="20"/>
          <w:szCs w:val="20"/>
          <w:lang w:eastAsia="sl-SI"/>
        </w:rPr>
        <w:t>o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 xml:space="preserve"> urejanju prostora </w:t>
      </w:r>
      <w:r w:rsidR="00DC5F91">
        <w:rPr>
          <w:rFonts w:ascii="Arial" w:eastAsia="Times New Roman" w:hAnsi="Arial" w:cs="Arial"/>
          <w:sz w:val="20"/>
          <w:szCs w:val="20"/>
          <w:lang w:eastAsia="sl-SI"/>
        </w:rPr>
        <w:t xml:space="preserve">– ZUreP-2 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>(</w:t>
      </w:r>
      <w:r w:rsidR="00DC5F91"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Uradni list RS, št. 61/17, 199/21 – ZUreP-3 in 20/22 – </w:t>
      </w:r>
      <w:proofErr w:type="spellStart"/>
      <w:r w:rsidR="00DC5F91" w:rsidRPr="00DC5F91">
        <w:rPr>
          <w:rFonts w:ascii="Arial" w:eastAsia="Times New Roman" w:hAnsi="Arial" w:cs="Arial"/>
          <w:sz w:val="20"/>
          <w:szCs w:val="20"/>
          <w:lang w:eastAsia="sl-SI"/>
        </w:rPr>
        <w:t>odl</w:t>
      </w:r>
      <w:proofErr w:type="spellEnd"/>
      <w:r w:rsidR="00DC5F91" w:rsidRPr="00DC5F91">
        <w:rPr>
          <w:rFonts w:ascii="Arial" w:eastAsia="Times New Roman" w:hAnsi="Arial" w:cs="Arial"/>
          <w:sz w:val="20"/>
          <w:szCs w:val="20"/>
          <w:lang w:eastAsia="sl-SI"/>
        </w:rPr>
        <w:t>. US</w:t>
      </w:r>
      <w:r w:rsidR="00DC5F91">
        <w:rPr>
          <w:rFonts w:ascii="Arial" w:eastAsia="Times New Roman" w:hAnsi="Arial" w:cs="Arial"/>
          <w:sz w:val="20"/>
          <w:szCs w:val="20"/>
          <w:lang w:eastAsia="sl-SI"/>
        </w:rPr>
        <w:t>) ter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 xml:space="preserve">Odloka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o 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>občinskem prostorskem načrtu Občine La</w:t>
      </w:r>
      <w:r>
        <w:rPr>
          <w:rFonts w:ascii="Arial" w:eastAsia="Times New Roman" w:hAnsi="Arial" w:cs="Arial"/>
          <w:sz w:val="20"/>
          <w:szCs w:val="20"/>
          <w:lang w:eastAsia="sl-SI"/>
        </w:rPr>
        <w:t>š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 xml:space="preserve">ko (Uradni list RS, </w:t>
      </w:r>
      <w:r>
        <w:rPr>
          <w:rFonts w:ascii="Arial" w:eastAsia="Times New Roman" w:hAnsi="Arial" w:cs="Arial"/>
          <w:sz w:val="20"/>
          <w:szCs w:val="20"/>
          <w:lang w:eastAsia="sl-SI"/>
        </w:rPr>
        <w:t>š</w:t>
      </w:r>
      <w:r w:rsidR="00DC5F91">
        <w:rPr>
          <w:rFonts w:ascii="Arial" w:eastAsia="Times New Roman" w:hAnsi="Arial" w:cs="Arial"/>
          <w:sz w:val="20"/>
          <w:szCs w:val="20"/>
          <w:lang w:eastAsia="sl-SI"/>
        </w:rPr>
        <w:t>t. 3/2018)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 xml:space="preserve"> župan Občine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>La</w:t>
      </w:r>
      <w:r>
        <w:rPr>
          <w:rFonts w:ascii="Arial" w:eastAsia="Times New Roman" w:hAnsi="Arial" w:cs="Arial"/>
          <w:sz w:val="20"/>
          <w:szCs w:val="20"/>
          <w:lang w:eastAsia="sl-SI"/>
        </w:rPr>
        <w:t>š</w:t>
      </w:r>
      <w:r w:rsidRPr="00DF1CB4">
        <w:rPr>
          <w:rFonts w:ascii="Arial" w:eastAsia="Times New Roman" w:hAnsi="Arial" w:cs="Arial"/>
          <w:sz w:val="20"/>
          <w:szCs w:val="20"/>
          <w:lang w:eastAsia="sl-SI"/>
        </w:rPr>
        <w:t>ko sprejme</w:t>
      </w:r>
    </w:p>
    <w:p w:rsidR="00D63A3F" w:rsidRPr="00EE5A52" w:rsidRDefault="00D63A3F" w:rsidP="00EE5A52">
      <w:pPr>
        <w:pStyle w:val="NoSpacing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DF1CB4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E5A52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S K L E P</w:t>
      </w:r>
    </w:p>
    <w:p w:rsidR="00D63A3F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E5A52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 PRIPRAV</w:t>
      </w:r>
      <w:r w:rsidR="00DF1CB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I</w:t>
      </w:r>
      <w:r w:rsidRPr="00EE5A52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  <w:r w:rsidR="00DF1CB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DRUGIH SPREMEMB IN DOPOLNITEV ZAZIDALNEGA NAČRTA </w:t>
      </w:r>
      <w:proofErr w:type="spellStart"/>
      <w:r w:rsidR="00DF1CB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TABORJE</w:t>
      </w:r>
      <w:proofErr w:type="spellEnd"/>
      <w:r w:rsidR="00DF1CB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  <w:proofErr w:type="spellStart"/>
      <w:r w:rsidR="00DF1CB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II</w:t>
      </w:r>
      <w:proofErr w:type="spellEnd"/>
    </w:p>
    <w:p w:rsidR="00EE5A52" w:rsidRDefault="00DF1CB4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NA OBMOČJU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EUP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LAU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-5 </w:t>
      </w:r>
      <w:r w:rsidR="00DC5F91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– </w:t>
      </w:r>
      <w:proofErr w:type="spellStart"/>
      <w:r w:rsidR="00DC5F91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OPPN</w:t>
      </w:r>
      <w:proofErr w:type="spellEnd"/>
    </w:p>
    <w:p w:rsidR="00D63A3F" w:rsidRPr="00EE5A52" w:rsidRDefault="00D63A3F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1360B5" w:rsidRDefault="00EC6FF5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E5A52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D63A3F" w:rsidRPr="00EE5A52" w:rsidRDefault="00EC6FF5" w:rsidP="001360B5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E5A52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Predmet sklepa</w:t>
      </w:r>
    </w:p>
    <w:p w:rsidR="00DC5F91" w:rsidRDefault="00EC6FF5" w:rsidP="00D63A3F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EE5A52">
        <w:rPr>
          <w:rFonts w:ascii="Arial" w:eastAsia="Times New Roman" w:hAnsi="Arial" w:cs="Arial"/>
          <w:sz w:val="20"/>
          <w:szCs w:val="20"/>
          <w:lang w:eastAsia="sl-SI"/>
        </w:rPr>
        <w:t xml:space="preserve">S tem sklepom se začne postopek priprave </w:t>
      </w:r>
      <w:r w:rsidR="00DF1CB4">
        <w:rPr>
          <w:rFonts w:ascii="Arial" w:eastAsia="Times New Roman" w:hAnsi="Arial" w:cs="Arial"/>
          <w:sz w:val="20"/>
          <w:szCs w:val="20"/>
          <w:lang w:eastAsia="sl-SI"/>
        </w:rPr>
        <w:t xml:space="preserve">drugih sprememb in dopolnitev Zazidalnega načrta </w:t>
      </w:r>
      <w:proofErr w:type="spellStart"/>
      <w:r w:rsidR="00DF1CB4">
        <w:rPr>
          <w:rFonts w:ascii="Arial" w:eastAsia="Times New Roman" w:hAnsi="Arial" w:cs="Arial"/>
          <w:sz w:val="20"/>
          <w:szCs w:val="20"/>
          <w:lang w:eastAsia="sl-SI"/>
        </w:rPr>
        <w:t>Taborje</w:t>
      </w:r>
      <w:proofErr w:type="spellEnd"/>
      <w:r w:rsidR="00DF1CB4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proofErr w:type="spellStart"/>
      <w:r w:rsidR="00DF1CB4">
        <w:rPr>
          <w:rFonts w:ascii="Arial" w:eastAsia="Times New Roman" w:hAnsi="Arial" w:cs="Arial"/>
          <w:sz w:val="20"/>
          <w:szCs w:val="20"/>
          <w:lang w:eastAsia="sl-SI"/>
        </w:rPr>
        <w:t>II</w:t>
      </w:r>
      <w:proofErr w:type="spellEnd"/>
      <w:r w:rsidR="00DF1CB4">
        <w:rPr>
          <w:rFonts w:ascii="Arial" w:eastAsia="Times New Roman" w:hAnsi="Arial" w:cs="Arial"/>
          <w:sz w:val="20"/>
          <w:szCs w:val="20"/>
          <w:lang w:eastAsia="sl-SI"/>
        </w:rPr>
        <w:t xml:space="preserve"> za del območja enote urejanja prostora</w:t>
      </w:r>
      <w:r w:rsidR="00DC5F91">
        <w:rPr>
          <w:rFonts w:ascii="Arial" w:eastAsia="Times New Roman" w:hAnsi="Arial" w:cs="Arial"/>
          <w:sz w:val="20"/>
          <w:szCs w:val="20"/>
          <w:lang w:eastAsia="sl-SI"/>
        </w:rPr>
        <w:t xml:space="preserve"> - </w:t>
      </w:r>
      <w:proofErr w:type="spellStart"/>
      <w:r w:rsidR="00DC5F91">
        <w:rPr>
          <w:rFonts w:ascii="Arial" w:eastAsia="Times New Roman" w:hAnsi="Arial" w:cs="Arial"/>
          <w:sz w:val="20"/>
          <w:szCs w:val="20"/>
          <w:lang w:eastAsia="sl-SI"/>
        </w:rPr>
        <w:t>EUP</w:t>
      </w:r>
      <w:proofErr w:type="spellEnd"/>
      <w:r w:rsidR="00DF1CB4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proofErr w:type="spellStart"/>
      <w:r w:rsidR="003A0925">
        <w:rPr>
          <w:rFonts w:ascii="Arial" w:eastAsia="Times New Roman" w:hAnsi="Arial" w:cs="Arial"/>
          <w:sz w:val="20"/>
          <w:szCs w:val="20"/>
          <w:lang w:eastAsia="sl-SI"/>
        </w:rPr>
        <w:t>LAU</w:t>
      </w:r>
      <w:proofErr w:type="spellEnd"/>
      <w:r w:rsidR="003A0925">
        <w:rPr>
          <w:rFonts w:ascii="Arial" w:eastAsia="Times New Roman" w:hAnsi="Arial" w:cs="Arial"/>
          <w:sz w:val="20"/>
          <w:szCs w:val="20"/>
          <w:lang w:eastAsia="sl-SI"/>
        </w:rPr>
        <w:t>-5</w:t>
      </w:r>
      <w:r w:rsidR="00730C49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DC5F91" w:rsidRPr="00DC5F91">
        <w:rPr>
          <w:rFonts w:ascii="Arial" w:eastAsia="Times New Roman" w:hAnsi="Arial" w:cs="Arial"/>
          <w:sz w:val="20"/>
          <w:szCs w:val="20"/>
          <w:lang w:eastAsia="sl-SI"/>
        </w:rPr>
        <w:t>po postopku in na način, ki ga določa Zakon o urejanju prostora (ZUreP-2).</w:t>
      </w:r>
    </w:p>
    <w:p w:rsidR="00D63A3F" w:rsidRPr="00EE5A52" w:rsidRDefault="00DC5F91" w:rsidP="00D63A3F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S tem sklepom se tudi </w:t>
      </w:r>
      <w:r w:rsidR="00730C49">
        <w:rPr>
          <w:rFonts w:ascii="Arial" w:eastAsia="Times New Roman" w:hAnsi="Arial" w:cs="Arial"/>
          <w:sz w:val="20"/>
          <w:szCs w:val="20"/>
          <w:lang w:eastAsia="sl-SI"/>
        </w:rPr>
        <w:t>potrdijo izhodišča za pripravo tega akta</w:t>
      </w:r>
      <w:r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:rsidR="00D63A3F" w:rsidRPr="00EE5A52" w:rsidRDefault="00D63A3F" w:rsidP="00D63A3F">
      <w:pPr>
        <w:pStyle w:val="NoSpacing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1360B5" w:rsidRDefault="00EC6FF5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D63A3F" w:rsidRPr="00730C49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Ocena stanja in razlogi za pripravo </w:t>
      </w:r>
      <w:proofErr w:type="spellStart"/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OPPN</w:t>
      </w:r>
      <w:proofErr w:type="spellEnd"/>
      <w:r w:rsidR="00DC5F91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</w:p>
    <w:p w:rsidR="003A0925" w:rsidRPr="003A0925" w:rsidRDefault="003A0925" w:rsidP="003A0925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3A0925">
        <w:rPr>
          <w:rFonts w:ascii="Arial" w:eastAsia="Times New Roman" w:hAnsi="Arial" w:cs="Arial"/>
          <w:sz w:val="20"/>
          <w:szCs w:val="20"/>
          <w:lang w:eastAsia="sl-SI"/>
        </w:rPr>
        <w:t>Po Odloku o občinskem prostorskem načrtu Občine Laško (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ULRS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, št. 3/2018, 51/2021 –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tehn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popr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.) je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območje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v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EUP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LAU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>-5 z namensko</w:t>
      </w:r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rab</w:t>
      </w:r>
      <w:r>
        <w:rPr>
          <w:rFonts w:ascii="Arial" w:eastAsia="Times New Roman" w:hAnsi="Arial" w:cs="Arial"/>
          <w:sz w:val="20"/>
          <w:szCs w:val="20"/>
          <w:lang w:eastAsia="sl-SI"/>
        </w:rPr>
        <w:t>o</w:t>
      </w:r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SS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– stanovanjske površine z oznako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EUP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LAU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-5, ki se ureja z Odlokom o zazidalnem načrtu za območje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Taborje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proofErr w:type="spellStart"/>
      <w:r w:rsidRPr="003A0925">
        <w:rPr>
          <w:rFonts w:ascii="Arial" w:eastAsia="Times New Roman" w:hAnsi="Arial" w:cs="Arial"/>
          <w:sz w:val="20"/>
          <w:szCs w:val="20"/>
          <w:lang w:eastAsia="sl-SI"/>
        </w:rPr>
        <w:t>II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(Uradni list RS, št 20/1991, 4/2010</w:t>
      </w:r>
      <w:r>
        <w:rPr>
          <w:rFonts w:ascii="Arial" w:eastAsia="Times New Roman" w:hAnsi="Arial" w:cs="Arial"/>
          <w:sz w:val="20"/>
          <w:szCs w:val="20"/>
          <w:lang w:eastAsia="sl-SI"/>
        </w:rPr>
        <w:t>; v nadaljevanju kot ZN</w:t>
      </w:r>
      <w:r w:rsidRPr="003A0925">
        <w:rPr>
          <w:rFonts w:ascii="Arial" w:eastAsia="Times New Roman" w:hAnsi="Arial" w:cs="Arial"/>
          <w:sz w:val="20"/>
          <w:szCs w:val="20"/>
          <w:lang w:eastAsia="sl-SI"/>
        </w:rPr>
        <w:t>).</w:t>
      </w:r>
    </w:p>
    <w:p w:rsidR="003A0925" w:rsidRDefault="003A0925" w:rsidP="003A0925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Na območju stoji dotrajana</w:t>
      </w:r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stanovanjsk</w:t>
      </w:r>
      <w:r>
        <w:rPr>
          <w:rFonts w:ascii="Arial" w:eastAsia="Times New Roman" w:hAnsi="Arial" w:cs="Arial"/>
          <w:sz w:val="20"/>
          <w:szCs w:val="20"/>
          <w:lang w:eastAsia="sl-SI"/>
        </w:rPr>
        <w:t>a</w:t>
      </w:r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hiš</w:t>
      </w:r>
      <w:r>
        <w:rPr>
          <w:rFonts w:ascii="Arial" w:eastAsia="Times New Roman" w:hAnsi="Arial" w:cs="Arial"/>
          <w:sz w:val="20"/>
          <w:szCs w:val="20"/>
          <w:lang w:eastAsia="sl-SI"/>
        </w:rPr>
        <w:t>a in kmetijski objekt.</w:t>
      </w:r>
    </w:p>
    <w:p w:rsidR="003A0925" w:rsidRDefault="003A0925" w:rsidP="00060A1B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Razlog za pripra</w:t>
      </w:r>
      <w:r w:rsidR="00730C49">
        <w:rPr>
          <w:rFonts w:ascii="Arial" w:eastAsia="Times New Roman" w:hAnsi="Arial" w:cs="Arial"/>
          <w:sz w:val="20"/>
          <w:szCs w:val="20"/>
          <w:lang w:eastAsia="sl-SI"/>
        </w:rPr>
        <w:t xml:space="preserve">vo </w:t>
      </w:r>
      <w:proofErr w:type="spellStart"/>
      <w:r w:rsidR="00730C49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="00730C49">
        <w:rPr>
          <w:rFonts w:ascii="Arial" w:eastAsia="Times New Roman" w:hAnsi="Arial" w:cs="Arial"/>
          <w:sz w:val="20"/>
          <w:szCs w:val="20"/>
          <w:lang w:eastAsia="sl-SI"/>
        </w:rPr>
        <w:t xml:space="preserve"> je pobuda investitorja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za novogradnjo dveh enakih (zrcalnih) enostanovanjskih hiš. Območje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3A0925">
        <w:rPr>
          <w:rFonts w:ascii="Arial" w:eastAsia="Times New Roman" w:hAnsi="Arial" w:cs="Arial"/>
          <w:sz w:val="20"/>
          <w:szCs w:val="20"/>
          <w:lang w:eastAsia="sl-SI"/>
        </w:rPr>
        <w:t xml:space="preserve"> se po 10. členu ZN šteje kot območje obstoječe pozidave. Za predvidene posege </w:t>
      </w:r>
      <w:r w:rsidR="00060A1B" w:rsidRPr="00060A1B">
        <w:rPr>
          <w:rFonts w:ascii="Arial" w:eastAsia="Times New Roman" w:hAnsi="Arial" w:cs="Arial"/>
          <w:sz w:val="20"/>
          <w:szCs w:val="20"/>
          <w:lang w:eastAsia="sl-SI"/>
        </w:rPr>
        <w:t xml:space="preserve">(oz. gradnje: odstranitev, rekonstrukcija novogradnja, sprememba namembnosti) </w:t>
      </w:r>
      <w:r w:rsidR="00060A1B">
        <w:rPr>
          <w:rFonts w:ascii="Arial" w:eastAsia="Times New Roman" w:hAnsi="Arial" w:cs="Arial"/>
          <w:sz w:val="20"/>
          <w:szCs w:val="20"/>
          <w:lang w:eastAsia="sl-SI"/>
        </w:rPr>
        <w:t xml:space="preserve">se </w:t>
      </w:r>
      <w:r w:rsidR="00060A1B" w:rsidRPr="00060A1B">
        <w:rPr>
          <w:rFonts w:ascii="Arial" w:eastAsia="Times New Roman" w:hAnsi="Arial" w:cs="Arial"/>
          <w:sz w:val="20"/>
          <w:szCs w:val="20"/>
          <w:lang w:eastAsia="sl-SI"/>
        </w:rPr>
        <w:t>na obstoječi pozidavi izdelajo strokovne rešitve za izdajo lokacijskega dovoljenja</w:t>
      </w:r>
      <w:r w:rsidR="00060A1B">
        <w:rPr>
          <w:rFonts w:ascii="Arial" w:eastAsia="Times New Roman" w:hAnsi="Arial" w:cs="Arial"/>
          <w:sz w:val="20"/>
          <w:szCs w:val="20"/>
          <w:lang w:eastAsia="sl-SI"/>
        </w:rPr>
        <w:t xml:space="preserve">, kot to določa 10. člen ZN. </w:t>
      </w:r>
      <w:r w:rsidR="00060A1B" w:rsidRPr="00060A1B">
        <w:rPr>
          <w:rFonts w:ascii="Arial" w:eastAsia="Times New Roman" w:hAnsi="Arial" w:cs="Arial"/>
          <w:sz w:val="20"/>
          <w:szCs w:val="20"/>
          <w:lang w:eastAsia="sl-SI"/>
        </w:rPr>
        <w:t>Za lokacijsko dovoljenje po sedaj veljavni zakonodaji se šteje gradbeno dovoljenje.</w:t>
      </w:r>
      <w:r w:rsidR="00730C49">
        <w:rPr>
          <w:rFonts w:ascii="Arial" w:eastAsia="Times New Roman" w:hAnsi="Arial" w:cs="Arial"/>
          <w:sz w:val="20"/>
          <w:szCs w:val="20"/>
          <w:lang w:eastAsia="sl-SI"/>
        </w:rPr>
        <w:t xml:space="preserve"> Zaradi manka prostorskih izvedbenih pogojev o urbanističnem in arhitekturnem ob</w:t>
      </w:r>
      <w:r w:rsidR="00C71FA7">
        <w:rPr>
          <w:rFonts w:ascii="Arial" w:eastAsia="Times New Roman" w:hAnsi="Arial" w:cs="Arial"/>
          <w:sz w:val="20"/>
          <w:szCs w:val="20"/>
          <w:lang w:eastAsia="sl-SI"/>
        </w:rPr>
        <w:t>l</w:t>
      </w:r>
      <w:r w:rsidR="00730C49">
        <w:rPr>
          <w:rFonts w:ascii="Arial" w:eastAsia="Times New Roman" w:hAnsi="Arial" w:cs="Arial"/>
          <w:sz w:val="20"/>
          <w:szCs w:val="20"/>
          <w:lang w:eastAsia="sl-SI"/>
        </w:rPr>
        <w:t xml:space="preserve">ikovanju ter razhajanj med preteklo in današnjo zakonodajo, se predlaga priprava postopka drugih sprememb in dopolnitev ZN samo na območju </w:t>
      </w:r>
      <w:proofErr w:type="spellStart"/>
      <w:r w:rsidR="00730C49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="00730C49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:rsidR="003A0925" w:rsidRDefault="003A0925" w:rsidP="003A0925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E5A52" w:rsidRPr="00730C49" w:rsidRDefault="00EC6FF5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EE5A52" w:rsidRPr="00730C49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Območje </w:t>
      </w:r>
      <w:proofErr w:type="spellStart"/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OPPN</w:t>
      </w:r>
      <w:proofErr w:type="spellEnd"/>
    </w:p>
    <w:p w:rsidR="00EE5A52" w:rsidRPr="00730C49" w:rsidRDefault="00EC6FF5" w:rsidP="00D63A3F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Okvirno območje urejanja je definirano na </w:t>
      </w:r>
      <w:r w:rsidR="00730C49" w:rsidRPr="00730C49">
        <w:rPr>
          <w:rFonts w:ascii="Arial" w:eastAsia="Times New Roman" w:hAnsi="Arial" w:cs="Arial"/>
          <w:sz w:val="20"/>
          <w:szCs w:val="20"/>
          <w:lang w:eastAsia="sl-SI"/>
        </w:rPr>
        <w:t>obseg</w:t>
      </w:r>
      <w:r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 zemljišča </w:t>
      </w:r>
      <w:r w:rsidR="00730C49"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v lasti investitorja </w:t>
      </w:r>
      <w:r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v enoti urejanja prostora </w:t>
      </w:r>
      <w:proofErr w:type="spellStart"/>
      <w:r w:rsidR="00730C49" w:rsidRPr="00730C49">
        <w:rPr>
          <w:rFonts w:ascii="Arial" w:eastAsia="Times New Roman" w:hAnsi="Arial" w:cs="Arial"/>
          <w:sz w:val="20"/>
          <w:szCs w:val="20"/>
          <w:lang w:eastAsia="sl-SI"/>
        </w:rPr>
        <w:t>LAU</w:t>
      </w:r>
      <w:proofErr w:type="spellEnd"/>
      <w:r w:rsidR="00730C49" w:rsidRPr="00730C49">
        <w:rPr>
          <w:rFonts w:ascii="Arial" w:eastAsia="Times New Roman" w:hAnsi="Arial" w:cs="Arial"/>
          <w:sz w:val="20"/>
          <w:szCs w:val="20"/>
          <w:lang w:eastAsia="sl-SI"/>
        </w:rPr>
        <w:t>-5 in obsega parcele št. 120/5, *239/1, 119/2, vse k.o. Reka (1025),</w:t>
      </w:r>
      <w:r w:rsidR="00C71FA7">
        <w:rPr>
          <w:rFonts w:ascii="Arial" w:eastAsia="Times New Roman" w:hAnsi="Arial" w:cs="Arial"/>
          <w:sz w:val="20"/>
          <w:szCs w:val="20"/>
          <w:lang w:eastAsia="sl-SI"/>
        </w:rPr>
        <w:t xml:space="preserve"> v skupni površini pribl. 1.101 </w:t>
      </w:r>
      <w:r w:rsidR="00730C49" w:rsidRPr="00730C49">
        <w:rPr>
          <w:rFonts w:ascii="Arial" w:eastAsia="Times New Roman" w:hAnsi="Arial" w:cs="Arial"/>
          <w:sz w:val="20"/>
          <w:szCs w:val="20"/>
          <w:lang w:eastAsia="sl-SI"/>
        </w:rPr>
        <w:t>m</w:t>
      </w:r>
      <w:r w:rsidR="00730C49" w:rsidRPr="00C71FA7">
        <w:rPr>
          <w:rFonts w:ascii="Arial" w:eastAsia="Times New Roman" w:hAnsi="Arial" w:cs="Arial"/>
          <w:sz w:val="20"/>
          <w:szCs w:val="20"/>
          <w:vertAlign w:val="superscript"/>
          <w:lang w:eastAsia="sl-SI"/>
        </w:rPr>
        <w:t>2</w:t>
      </w:r>
      <w:r w:rsidR="00730C49" w:rsidRPr="00730C49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:rsidR="00EE5A52" w:rsidRPr="00730C49" w:rsidRDefault="00EE5A52" w:rsidP="00D63A3F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E5A52" w:rsidRPr="00730C49" w:rsidRDefault="00EC6FF5" w:rsidP="00D63A3F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Dokončno območje urejanja se določi na podlagi rešitev in ugotovitev iz strokovnih podlag oziroma na podlagi zahtev nosilcev urejanja prostora. V postopku priprave </w:t>
      </w:r>
      <w:proofErr w:type="spellStart"/>
      <w:r w:rsidRPr="00730C49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 se območje urejanja lahko tudi spremeni oz. razširi še na druga zemljišč, ki bodo </w:t>
      </w:r>
      <w:proofErr w:type="spellStart"/>
      <w:r w:rsidRPr="00730C49">
        <w:rPr>
          <w:rFonts w:ascii="Arial" w:eastAsia="Times New Roman" w:hAnsi="Arial" w:cs="Arial"/>
          <w:sz w:val="20"/>
          <w:szCs w:val="20"/>
          <w:lang w:eastAsia="sl-SI"/>
        </w:rPr>
        <w:t>tangirana</w:t>
      </w:r>
      <w:proofErr w:type="spellEnd"/>
      <w:r w:rsidRPr="00730C49">
        <w:rPr>
          <w:rFonts w:ascii="Arial" w:eastAsia="Times New Roman" w:hAnsi="Arial" w:cs="Arial"/>
          <w:sz w:val="20"/>
          <w:szCs w:val="20"/>
          <w:lang w:eastAsia="sl-SI"/>
        </w:rPr>
        <w:t xml:space="preserve"> z gradnjo oziroma na sosednje enote urejanja prostora z namenom, da se zagotovijo celovite urbanistične, funkcionalne in prometne ureditve obravnavanega območja.</w:t>
      </w:r>
    </w:p>
    <w:p w:rsidR="00730C49" w:rsidRPr="00DF1CB4" w:rsidRDefault="00730C49" w:rsidP="00D63A3F">
      <w:pPr>
        <w:pStyle w:val="NoSpacing"/>
        <w:rPr>
          <w:rFonts w:ascii="Arial" w:eastAsia="Times New Roman" w:hAnsi="Arial" w:cs="Arial"/>
          <w:sz w:val="20"/>
          <w:szCs w:val="20"/>
          <w:highlight w:val="yellow"/>
          <w:lang w:eastAsia="sl-SI"/>
        </w:rPr>
      </w:pPr>
    </w:p>
    <w:p w:rsidR="00EE5A52" w:rsidRPr="00730C49" w:rsidRDefault="00EC6FF5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lastRenderedPageBreak/>
        <w:t>člen</w:t>
      </w:r>
    </w:p>
    <w:p w:rsidR="00EE5A52" w:rsidRPr="00730C49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730C4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Način pridobitve strokovnih rešitev</w:t>
      </w:r>
    </w:p>
    <w:p w:rsidR="00730C49" w:rsidRPr="00DF45B2" w:rsidRDefault="00730C49" w:rsidP="00730C49">
      <w:pPr>
        <w:spacing w:after="0"/>
        <w:rPr>
          <w:rFonts w:ascii="Tahoma" w:eastAsia="Times New Roman" w:hAnsi="Tahoma" w:cs="Tahoma"/>
          <w:sz w:val="20"/>
          <w:szCs w:val="20"/>
          <w:lang w:eastAsia="sl-SI"/>
        </w:rPr>
      </w:pPr>
      <w:r w:rsidRPr="00730C49">
        <w:rPr>
          <w:rFonts w:ascii="Tahoma" w:eastAsia="Times New Roman" w:hAnsi="Tahoma" w:cs="Tahoma"/>
          <w:sz w:val="20"/>
          <w:szCs w:val="20"/>
          <w:lang w:eastAsia="sl-SI"/>
        </w:rPr>
        <w:t>Strokovne rešitve pripravi pooblaščeni načrtovalec.</w:t>
      </w:r>
      <w:r w:rsidRPr="00DF45B2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</w:p>
    <w:p w:rsidR="00EE5A52" w:rsidRPr="00DF1CB4" w:rsidRDefault="00EE5A52" w:rsidP="00730C49">
      <w:pPr>
        <w:pStyle w:val="NoSpacing"/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sl-SI"/>
        </w:rPr>
      </w:pPr>
    </w:p>
    <w:p w:rsidR="00EE5A52" w:rsidRPr="000F6543" w:rsidRDefault="00EC6FF5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člen</w:t>
      </w:r>
    </w:p>
    <w:p w:rsidR="00EE5A52" w:rsidRPr="000F6543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Roki za pripravo </w:t>
      </w:r>
      <w:proofErr w:type="spellStart"/>
      <w:r w:rsidRPr="000F654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OPPN</w:t>
      </w:r>
      <w:proofErr w:type="spellEnd"/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Okvirni ro</w:t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ki posameznih faz v postopku priprave </w:t>
      </w:r>
      <w:proofErr w:type="spellStart"/>
      <w:r w:rsidRPr="000F6543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 so naslednji: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1. faza: izhodišča in sklep o pripravi </w:t>
      </w:r>
      <w:proofErr w:type="spellStart"/>
      <w:r w:rsidRPr="000F6543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, odločitev o </w:t>
      </w:r>
      <w:proofErr w:type="spellStart"/>
      <w:r w:rsidRPr="000F6543">
        <w:rPr>
          <w:rFonts w:ascii="Arial" w:eastAsia="Times New Roman" w:hAnsi="Arial" w:cs="Arial"/>
          <w:sz w:val="20"/>
          <w:szCs w:val="20"/>
          <w:lang w:eastAsia="sl-SI"/>
        </w:rPr>
        <w:t>CPVO</w:t>
      </w:r>
      <w:proofErr w:type="spellEnd"/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  <w:t>/60 dni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>2. faza:</w:t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  <w:t xml:space="preserve">osnutek </w:t>
      </w:r>
      <w:proofErr w:type="spellStart"/>
      <w:r w:rsidRPr="000F6543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  <w:t>/30 dni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>3. faza: prva mnenja nosilcev urejanja prostora (</w:t>
      </w:r>
      <w:proofErr w:type="spellStart"/>
      <w:r w:rsidRPr="000F6543">
        <w:rPr>
          <w:rFonts w:ascii="Arial" w:eastAsia="Times New Roman" w:hAnsi="Arial" w:cs="Arial"/>
          <w:sz w:val="20"/>
          <w:szCs w:val="20"/>
          <w:lang w:eastAsia="sl-SI"/>
        </w:rPr>
        <w:t>NUP</w:t>
      </w:r>
      <w:proofErr w:type="spellEnd"/>
      <w:r w:rsidRPr="000F6543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  <w:t>/30 dni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4. faza: dopolnjeni osnutek </w:t>
      </w:r>
      <w:proofErr w:type="spellStart"/>
      <w:r w:rsidRPr="000F6543"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  <w:t>/30 dni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>5. faza: javna r</w:t>
      </w:r>
      <w:r>
        <w:rPr>
          <w:rFonts w:ascii="Arial" w:eastAsia="Times New Roman" w:hAnsi="Arial" w:cs="Arial"/>
          <w:sz w:val="20"/>
          <w:szCs w:val="20"/>
          <w:lang w:eastAsia="sl-SI"/>
        </w:rPr>
        <w:t>azgrnitev in javna obravnava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>/30 dni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6. faza: stališča do </w:t>
      </w:r>
      <w:r>
        <w:rPr>
          <w:rFonts w:ascii="Arial" w:eastAsia="Times New Roman" w:hAnsi="Arial" w:cs="Arial"/>
          <w:sz w:val="20"/>
          <w:szCs w:val="20"/>
          <w:lang w:eastAsia="sl-SI"/>
        </w:rPr>
        <w:t>pripomb in predlogov javnosti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/30 dni 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7. faza: predlog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ab/>
        <w:t xml:space="preserve">/30 dni  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>8. faza: druga mnenja nos</w:t>
      </w:r>
      <w:r>
        <w:rPr>
          <w:rFonts w:ascii="Arial" w:eastAsia="Times New Roman" w:hAnsi="Arial" w:cs="Arial"/>
          <w:sz w:val="20"/>
          <w:szCs w:val="20"/>
          <w:lang w:eastAsia="sl-SI"/>
        </w:rPr>
        <w:t>ilcev urejanja prostora (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NUP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>)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>/30 dni</w:t>
      </w:r>
    </w:p>
    <w:p w:rsidR="000F6543" w:rsidRPr="000F6543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>9. faza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: sprejem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 xml:space="preserve"> na OS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0F6543">
        <w:rPr>
          <w:rFonts w:ascii="Arial" w:eastAsia="Times New Roman" w:hAnsi="Arial" w:cs="Arial"/>
          <w:sz w:val="20"/>
          <w:szCs w:val="20"/>
          <w:lang w:eastAsia="sl-SI"/>
        </w:rPr>
        <w:t>/na redni seji OS</w:t>
      </w:r>
    </w:p>
    <w:p w:rsidR="000F6543" w:rsidRPr="000F6543" w:rsidRDefault="000F6543" w:rsidP="000F6543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 xml:space="preserve">Okvirno zapisani roki se lahko zaradi nepredvidljivih zahtev in pogojev akterjev v postopku tudi spremenijo. </w:t>
      </w:r>
    </w:p>
    <w:p w:rsidR="00EE5A52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0F6543">
        <w:rPr>
          <w:rFonts w:ascii="Arial" w:eastAsia="Times New Roman" w:hAnsi="Arial" w:cs="Arial"/>
          <w:sz w:val="20"/>
          <w:szCs w:val="20"/>
          <w:lang w:eastAsia="sl-SI"/>
        </w:rPr>
        <w:t>Fazi 1 in 2 se lahko tudi združita.</w:t>
      </w:r>
    </w:p>
    <w:p w:rsidR="000F6543" w:rsidRDefault="000F6543" w:rsidP="000F6543">
      <w:pPr>
        <w:pStyle w:val="NoSpacing"/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sl-SI"/>
        </w:rPr>
      </w:pPr>
    </w:p>
    <w:p w:rsidR="000F6543" w:rsidRPr="001360B5" w:rsidRDefault="000F6543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0F6543" w:rsidRPr="001360B5" w:rsidRDefault="000F6543" w:rsidP="000F6543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Nosilci urejanja prostora, ki podajo smernice za načrtovane prostorske ureditve in drugi udeleženci, ki bodo sodelovali pri pripravi </w:t>
      </w:r>
      <w:proofErr w:type="spellStart"/>
      <w:r w:rsidRPr="001360B5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OPPN</w:t>
      </w:r>
      <w:proofErr w:type="spellEnd"/>
    </w:p>
    <w:p w:rsidR="000F6543" w:rsidRPr="001360B5" w:rsidRDefault="000F6543" w:rsidP="000F6543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Nosilci urejanja prostora, ki podajo smernice in mnenja k načrtovanim prostorskim ureditvam s svojega delovnega področja, so:</w:t>
      </w:r>
    </w:p>
    <w:p w:rsidR="000F6543" w:rsidRPr="001360B5" w:rsidRDefault="000F6543" w:rsidP="000F6543">
      <w:pPr>
        <w:pStyle w:val="NoSpacing"/>
        <w:numPr>
          <w:ilvl w:val="0"/>
          <w:numId w:val="5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MINISTRSTVO ZA OKOLJE IN PROSTOR, Direktorat za prostor, graditev in stanovanja ter Direktorat za okolje, Sektor za okoljske presoje, Dunajska cesta 48, 1000 Ljubljana;</w:t>
      </w:r>
    </w:p>
    <w:p w:rsidR="000F6543" w:rsidRPr="001360B5" w:rsidRDefault="000F6543" w:rsidP="000F6543">
      <w:pPr>
        <w:pStyle w:val="NoSpacing"/>
        <w:numPr>
          <w:ilvl w:val="0"/>
          <w:numId w:val="5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Direkcija RS za vode, Sektor območja Savinje, Mariborska cesta 86, 3000 Celje;</w:t>
      </w:r>
    </w:p>
    <w:p w:rsidR="000F6543" w:rsidRPr="001360B5" w:rsidRDefault="000F6543" w:rsidP="000F6543">
      <w:pPr>
        <w:pStyle w:val="NoSpacing"/>
        <w:numPr>
          <w:ilvl w:val="0"/>
          <w:numId w:val="5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ZAVOD RS ZA VARSTVO NARAVE, </w:t>
      </w:r>
      <w:proofErr w:type="spellStart"/>
      <w:r w:rsidRPr="001360B5">
        <w:rPr>
          <w:rFonts w:ascii="Arial" w:eastAsia="Times New Roman" w:hAnsi="Arial" w:cs="Arial"/>
          <w:sz w:val="20"/>
          <w:szCs w:val="20"/>
          <w:lang w:eastAsia="sl-SI"/>
        </w:rPr>
        <w:t>OE</w:t>
      </w:r>
      <w:proofErr w:type="spellEnd"/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 Celje, Vodnikova ulica 3, 3000 Celje;</w:t>
      </w:r>
    </w:p>
    <w:p w:rsidR="000F6543" w:rsidRPr="001360B5" w:rsidRDefault="000F6543" w:rsidP="000F6543">
      <w:pPr>
        <w:pStyle w:val="NoSpacing"/>
        <w:numPr>
          <w:ilvl w:val="0"/>
          <w:numId w:val="6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Ministrstvo za zdravje</w:t>
      </w:r>
      <w:r w:rsidRPr="001360B5">
        <w:t xml:space="preserve"> </w:t>
      </w:r>
      <w:r w:rsidRPr="001360B5">
        <w:rPr>
          <w:rFonts w:ascii="Arial" w:eastAsia="Times New Roman" w:hAnsi="Arial" w:cs="Arial"/>
          <w:sz w:val="20"/>
          <w:szCs w:val="20"/>
          <w:lang w:eastAsia="sl-SI"/>
        </w:rPr>
        <w:t>Štefanova ulica 5, 1000 Ljubljana;</w:t>
      </w:r>
    </w:p>
    <w:p w:rsidR="000F6543" w:rsidRPr="001360B5" w:rsidRDefault="000F6543" w:rsidP="000F6543">
      <w:pPr>
        <w:pStyle w:val="NoSpacing"/>
        <w:numPr>
          <w:ilvl w:val="0"/>
          <w:numId w:val="7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Občina Laško, Mestna ulica 2, 3270 Laško</w:t>
      </w:r>
      <w:r w:rsidR="001360B5" w:rsidRPr="001360B5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:rsidR="000F6543" w:rsidRPr="001360B5" w:rsidRDefault="001360B5" w:rsidP="001360B5">
      <w:pPr>
        <w:pStyle w:val="NoSpacing"/>
        <w:numPr>
          <w:ilvl w:val="0"/>
          <w:numId w:val="7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1360B5">
        <w:rPr>
          <w:rFonts w:ascii="Arial" w:eastAsia="Times New Roman" w:hAnsi="Arial" w:cs="Arial"/>
          <w:sz w:val="20"/>
          <w:szCs w:val="20"/>
          <w:lang w:eastAsia="sl-SI"/>
        </w:rPr>
        <w:t>JP</w:t>
      </w:r>
      <w:proofErr w:type="spellEnd"/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 Komunala Laško d.o.o.</w:t>
      </w:r>
      <w:r w:rsidR="000F6543" w:rsidRPr="001360B5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Pr="001360B5">
        <w:t xml:space="preserve"> </w:t>
      </w:r>
      <w:proofErr w:type="spellStart"/>
      <w:r w:rsidRPr="001360B5">
        <w:rPr>
          <w:rFonts w:ascii="Arial" w:eastAsia="Times New Roman" w:hAnsi="Arial" w:cs="Arial"/>
          <w:sz w:val="20"/>
          <w:szCs w:val="20"/>
          <w:lang w:eastAsia="sl-SI"/>
        </w:rPr>
        <w:t>Podšmihel</w:t>
      </w:r>
      <w:proofErr w:type="spellEnd"/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 1e, 3270 Laško;</w:t>
      </w:r>
    </w:p>
    <w:p w:rsidR="000F6543" w:rsidRPr="001360B5" w:rsidRDefault="000F6543" w:rsidP="001360B5">
      <w:pPr>
        <w:pStyle w:val="NoSpacing"/>
        <w:numPr>
          <w:ilvl w:val="0"/>
          <w:numId w:val="7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Elektro Celje, </w:t>
      </w:r>
      <w:r w:rsidR="001360B5" w:rsidRPr="001360B5">
        <w:rPr>
          <w:rFonts w:ascii="Arial" w:eastAsia="Times New Roman" w:hAnsi="Arial" w:cs="Arial"/>
          <w:sz w:val="20"/>
          <w:szCs w:val="20"/>
          <w:lang w:eastAsia="sl-SI"/>
        </w:rPr>
        <w:t>Distribucijska enota Celje, Popovičeva 1, 3000 Celje;</w:t>
      </w:r>
    </w:p>
    <w:p w:rsidR="000F6543" w:rsidRPr="001360B5" w:rsidRDefault="000F6543" w:rsidP="000F6543">
      <w:pPr>
        <w:pStyle w:val="NoSpacing"/>
        <w:numPr>
          <w:ilvl w:val="0"/>
          <w:numId w:val="7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Telekom Slovenije, </w:t>
      </w:r>
      <w:proofErr w:type="spellStart"/>
      <w:r w:rsidRPr="001360B5">
        <w:rPr>
          <w:rFonts w:ascii="Arial" w:eastAsia="Times New Roman" w:hAnsi="Arial" w:cs="Arial"/>
          <w:sz w:val="20"/>
          <w:szCs w:val="20"/>
          <w:lang w:eastAsia="sl-SI"/>
        </w:rPr>
        <w:t>PE</w:t>
      </w:r>
      <w:proofErr w:type="spellEnd"/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1360B5" w:rsidRPr="001360B5">
        <w:rPr>
          <w:rFonts w:ascii="Arial" w:eastAsia="Times New Roman" w:hAnsi="Arial" w:cs="Arial"/>
          <w:sz w:val="20"/>
          <w:szCs w:val="20"/>
          <w:lang w:eastAsia="sl-SI"/>
        </w:rPr>
        <w:t>Celje</w:t>
      </w:r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1360B5" w:rsidRPr="001360B5">
        <w:rPr>
          <w:rFonts w:ascii="Arial" w:eastAsia="Times New Roman" w:hAnsi="Arial" w:cs="Arial"/>
          <w:sz w:val="20"/>
          <w:szCs w:val="20"/>
          <w:lang w:eastAsia="sl-SI"/>
        </w:rPr>
        <w:t>Mariborska c. 1</w:t>
      </w:r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1360B5" w:rsidRPr="001360B5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000 </w:t>
      </w:r>
      <w:r w:rsidR="001360B5" w:rsidRPr="001360B5">
        <w:rPr>
          <w:rFonts w:ascii="Arial" w:eastAsia="Times New Roman" w:hAnsi="Arial" w:cs="Arial"/>
          <w:sz w:val="20"/>
          <w:szCs w:val="20"/>
          <w:lang w:eastAsia="sl-SI"/>
        </w:rPr>
        <w:t>Celje;</w:t>
      </w:r>
    </w:p>
    <w:p w:rsidR="000F6543" w:rsidRPr="001360B5" w:rsidRDefault="001360B5" w:rsidP="000F6543">
      <w:pPr>
        <w:pStyle w:val="NoSpacing"/>
        <w:numPr>
          <w:ilvl w:val="0"/>
          <w:numId w:val="7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Telemach</w:t>
      </w:r>
      <w:r w:rsidR="000F6543" w:rsidRPr="001360B5">
        <w:rPr>
          <w:rFonts w:ascii="Arial" w:eastAsia="Times New Roman" w:hAnsi="Arial" w:cs="Arial"/>
          <w:sz w:val="20"/>
          <w:szCs w:val="20"/>
          <w:lang w:eastAsia="sl-SI"/>
        </w:rPr>
        <w:t xml:space="preserve"> d.o.o., </w:t>
      </w:r>
      <w:r w:rsidRPr="001360B5">
        <w:rPr>
          <w:rFonts w:ascii="Arial" w:eastAsia="Times New Roman" w:hAnsi="Arial" w:cs="Arial"/>
          <w:sz w:val="20"/>
          <w:szCs w:val="20"/>
          <w:lang w:eastAsia="sl-SI"/>
        </w:rPr>
        <w:t>Brnčičeva ulica 49A, 1231 Ljubljana – Črnuče;</w:t>
      </w:r>
    </w:p>
    <w:p w:rsidR="001360B5" w:rsidRPr="001360B5" w:rsidRDefault="001360B5" w:rsidP="001360B5">
      <w:pPr>
        <w:pStyle w:val="NoSpacing"/>
        <w:numPr>
          <w:ilvl w:val="0"/>
          <w:numId w:val="7"/>
        </w:numPr>
        <w:ind w:left="284" w:hanging="284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Storitveno podjetje Laško d.o.o., Modrič 8, 3270 Laško</w:t>
      </w:r>
    </w:p>
    <w:p w:rsidR="000F6543" w:rsidRPr="001360B5" w:rsidRDefault="000F6543" w:rsidP="000F6543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</w:p>
    <w:p w:rsidR="001360B5" w:rsidRPr="001360B5" w:rsidRDefault="001360B5" w:rsidP="001360B5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sz w:val="20"/>
          <w:szCs w:val="20"/>
          <w:lang w:eastAsia="sl-SI"/>
        </w:rPr>
        <w:t>V postopek se lahko vključijo tudi drugi nosilci urejanja prostora, če se v okviru postopka priprave ugotovi, da je potrebno njihovo mnenje o načrtovani prostorski ureditvi.</w:t>
      </w:r>
    </w:p>
    <w:p w:rsidR="000F6543" w:rsidRPr="00EA6069" w:rsidRDefault="000F6543" w:rsidP="000F6543">
      <w:pPr>
        <w:pStyle w:val="NoSpacing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p w:rsidR="001360B5" w:rsidRPr="001360B5" w:rsidRDefault="001360B5" w:rsidP="001360B5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1360B5" w:rsidRDefault="001360B5" w:rsidP="001360B5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(načrt vključevanja javnosti)</w:t>
      </w:r>
    </w:p>
    <w:p w:rsidR="001360B5" w:rsidRPr="001360B5" w:rsidRDefault="001360B5" w:rsidP="001360B5">
      <w:pPr>
        <w:pStyle w:val="NoSpacing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Javnost se seznani s sklepom o pripravi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eastAsia="sl-SI"/>
        </w:rPr>
        <w:t>OPPN</w:t>
      </w:r>
      <w:proofErr w:type="spellEnd"/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z objavo </w:t>
      </w:r>
      <w:r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tega </w:t>
      </w: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v Uradnem listu RS </w:t>
      </w:r>
      <w:r>
        <w:rPr>
          <w:rFonts w:ascii="Arial" w:eastAsia="Times New Roman" w:hAnsi="Arial" w:cs="Arial"/>
          <w:bCs/>
          <w:sz w:val="20"/>
          <w:szCs w:val="20"/>
          <w:lang w:eastAsia="sl-SI"/>
        </w:rPr>
        <w:t>ter</w:t>
      </w: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z objavo sklepa in izhodišč za pripravo </w:t>
      </w:r>
      <w:proofErr w:type="spellStart"/>
      <w:r>
        <w:rPr>
          <w:rFonts w:ascii="Arial" w:eastAsia="Times New Roman" w:hAnsi="Arial" w:cs="Arial"/>
          <w:bCs/>
          <w:sz w:val="20"/>
          <w:szCs w:val="20"/>
          <w:lang w:eastAsia="sl-SI"/>
        </w:rPr>
        <w:t>OPPN</w:t>
      </w:r>
      <w:proofErr w:type="spellEnd"/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na spletni strani </w:t>
      </w:r>
      <w:r>
        <w:rPr>
          <w:rFonts w:ascii="Arial" w:eastAsia="Times New Roman" w:hAnsi="Arial" w:cs="Arial"/>
          <w:bCs/>
          <w:sz w:val="20"/>
          <w:szCs w:val="20"/>
          <w:lang w:eastAsia="sl-SI"/>
        </w:rPr>
        <w:t>občine</w:t>
      </w: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>.</w:t>
      </w:r>
    </w:p>
    <w:p w:rsidR="00EA6069" w:rsidRDefault="00EA6069" w:rsidP="001360B5">
      <w:pPr>
        <w:pStyle w:val="NoSpacing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>
        <w:rPr>
          <w:rFonts w:ascii="Arial" w:eastAsia="Times New Roman" w:hAnsi="Arial" w:cs="Arial"/>
          <w:bCs/>
          <w:sz w:val="20"/>
          <w:szCs w:val="20"/>
          <w:lang w:eastAsia="sl-SI"/>
        </w:rPr>
        <w:t>Z</w:t>
      </w:r>
      <w:r w:rsidR="001360B5"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načrtovanimi rešitvami </w:t>
      </w:r>
      <w:r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se javnost seznani </w:t>
      </w:r>
      <w:r w:rsidR="001360B5"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v času javne razgrnitve, ki traja 30 dni. Dopolnjeni osnutek prostorskega izvedbenega akta se predstavi in obravnava na javni v času javne razgrnitve. </w:t>
      </w:r>
    </w:p>
    <w:p w:rsidR="001360B5" w:rsidRDefault="001360B5" w:rsidP="001360B5">
      <w:pPr>
        <w:pStyle w:val="NoSpacing"/>
        <w:jc w:val="both"/>
        <w:rPr>
          <w:rFonts w:ascii="Arial" w:eastAsia="Times New Roman" w:hAnsi="Arial" w:cs="Arial"/>
          <w:bCs/>
          <w:sz w:val="20"/>
          <w:szCs w:val="20"/>
          <w:lang w:eastAsia="sl-SI"/>
        </w:rPr>
      </w:pP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>V času javne razgrnitve in javne obravnave lahko javnost poda pripombe na načrtovane ureditve. Pripombe se preučijo, stališča do pripomb</w:t>
      </w:r>
      <w:r w:rsidR="00EA6069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pa</w:t>
      </w: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se javno objavijo v prostorskem informacijsk</w:t>
      </w:r>
      <w:r w:rsidR="00EA6069">
        <w:rPr>
          <w:rFonts w:ascii="Arial" w:eastAsia="Times New Roman" w:hAnsi="Arial" w:cs="Arial"/>
          <w:bCs/>
          <w:sz w:val="20"/>
          <w:szCs w:val="20"/>
          <w:lang w:eastAsia="sl-SI"/>
        </w:rPr>
        <w:t>em sistemu na spletni strani občine</w:t>
      </w:r>
      <w:r w:rsidRPr="001360B5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 in na krajevno običajen način.</w:t>
      </w:r>
    </w:p>
    <w:p w:rsidR="001360B5" w:rsidRDefault="001360B5" w:rsidP="000F6543">
      <w:pPr>
        <w:pStyle w:val="NoSpacing"/>
        <w:rPr>
          <w:rFonts w:ascii="Arial" w:eastAsia="Times New Roman" w:hAnsi="Arial" w:cs="Arial"/>
          <w:bCs/>
          <w:sz w:val="20"/>
          <w:szCs w:val="20"/>
          <w:lang w:eastAsia="sl-SI"/>
        </w:rPr>
      </w:pPr>
    </w:p>
    <w:p w:rsidR="00EE5A52" w:rsidRPr="00EA6069" w:rsidRDefault="00EC6FF5" w:rsidP="00EA6069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A606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EE5A52" w:rsidRPr="00EA6069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A606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Obveznosti v zvezi s financiranjem priprave </w:t>
      </w:r>
      <w:proofErr w:type="spellStart"/>
      <w:r w:rsidRPr="00EA6069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OPPN</w:t>
      </w:r>
      <w:proofErr w:type="spellEnd"/>
    </w:p>
    <w:p w:rsidR="00EA6069" w:rsidRDefault="00EA6069" w:rsidP="00EA6069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Izdelavo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 financira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zasebni pobudnik oz. investitor postopka, vključno z </w:t>
      </w:r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izdelavo odloka, geodetske podlage,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morebitna </w:t>
      </w:r>
      <w:r w:rsidRPr="00EA6069">
        <w:rPr>
          <w:rFonts w:ascii="Arial" w:eastAsia="Times New Roman" w:hAnsi="Arial" w:cs="Arial"/>
          <w:sz w:val="20"/>
          <w:szCs w:val="20"/>
          <w:lang w:eastAsia="sl-SI"/>
        </w:rPr>
        <w:t>geolo</w:t>
      </w:r>
      <w:r>
        <w:rPr>
          <w:rFonts w:ascii="Arial" w:eastAsia="Times New Roman" w:hAnsi="Arial" w:cs="Arial"/>
          <w:sz w:val="20"/>
          <w:szCs w:val="20"/>
          <w:lang w:eastAsia="sl-SI"/>
        </w:rPr>
        <w:t>š</w:t>
      </w:r>
      <w:r w:rsidRPr="00EA6069">
        <w:rPr>
          <w:rFonts w:ascii="Arial" w:eastAsia="Times New Roman" w:hAnsi="Arial" w:cs="Arial"/>
          <w:sz w:val="20"/>
          <w:szCs w:val="20"/>
          <w:lang w:eastAsia="sl-SI"/>
        </w:rPr>
        <w:t>ka poro</w:t>
      </w:r>
      <w:r>
        <w:rPr>
          <w:rFonts w:ascii="Arial" w:eastAsia="Times New Roman" w:hAnsi="Arial" w:cs="Arial"/>
          <w:sz w:val="20"/>
          <w:szCs w:val="20"/>
          <w:lang w:eastAsia="sl-SI"/>
        </w:rPr>
        <w:t>č</w:t>
      </w:r>
      <w:r w:rsidRPr="00EA6069">
        <w:rPr>
          <w:rFonts w:ascii="Arial" w:eastAsia="Times New Roman" w:hAnsi="Arial" w:cs="Arial"/>
          <w:sz w:val="20"/>
          <w:szCs w:val="20"/>
          <w:lang w:eastAsia="sl-SI"/>
        </w:rPr>
        <w:t>ila, more</w:t>
      </w:r>
      <w:r>
        <w:rPr>
          <w:rFonts w:ascii="Arial" w:eastAsia="Times New Roman" w:hAnsi="Arial" w:cs="Arial"/>
          <w:sz w:val="20"/>
          <w:szCs w:val="20"/>
          <w:lang w:eastAsia="sl-SI"/>
        </w:rPr>
        <w:t>bitno presojo vplivov na okolje idr. strokovne podlage oz. g</w:t>
      </w:r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radiva. </w:t>
      </w:r>
    </w:p>
    <w:p w:rsidR="00EA6069" w:rsidRDefault="00EA6069" w:rsidP="00EA6069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Postopek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OPPN</w:t>
      </w:r>
      <w:proofErr w:type="spellEnd"/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 izvede občinska uprava Občine </w:t>
      </w:r>
      <w:r>
        <w:rPr>
          <w:rFonts w:ascii="Arial" w:eastAsia="Times New Roman" w:hAnsi="Arial" w:cs="Arial"/>
          <w:sz w:val="20"/>
          <w:szCs w:val="20"/>
          <w:lang w:eastAsia="sl-SI"/>
        </w:rPr>
        <w:t>Laško</w:t>
      </w:r>
      <w:r w:rsidRPr="00EA6069">
        <w:rPr>
          <w:rFonts w:ascii="Arial" w:eastAsia="Times New Roman" w:hAnsi="Arial" w:cs="Arial"/>
          <w:sz w:val="20"/>
          <w:szCs w:val="20"/>
          <w:lang w:eastAsia="sl-SI"/>
        </w:rPr>
        <w:t xml:space="preserve"> v okviru svojih nalog.</w:t>
      </w:r>
    </w:p>
    <w:p w:rsidR="00EA6069" w:rsidRDefault="00EA6069" w:rsidP="00EA6069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E5A52" w:rsidRPr="00DC5F91" w:rsidRDefault="00EC6FF5" w:rsidP="00EA6069">
      <w:pPr>
        <w:pStyle w:val="NoSpacing"/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člen</w:t>
      </w:r>
    </w:p>
    <w:p w:rsidR="00EE5A52" w:rsidRPr="00DC5F91" w:rsidRDefault="00EC6FF5" w:rsidP="00EE5A52">
      <w:pPr>
        <w:pStyle w:val="NoSpacing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Objava in </w:t>
      </w:r>
      <w:r w:rsidR="00EA6069" w:rsidRPr="00DC5F91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veljavnost</w:t>
      </w:r>
    </w:p>
    <w:p w:rsidR="00EC6FF5" w:rsidRPr="00DC5F91" w:rsidRDefault="00EA6069" w:rsidP="00D63A3F">
      <w:pPr>
        <w:pStyle w:val="NoSpacing"/>
        <w:rPr>
          <w:rFonts w:ascii="Arial" w:eastAsia="Times New Roman" w:hAnsi="Arial" w:cs="Arial"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sz w:val="20"/>
          <w:szCs w:val="20"/>
          <w:lang w:eastAsia="sl-SI"/>
        </w:rPr>
        <w:t>Ta s</w:t>
      </w:r>
      <w:r w:rsidR="00EC6FF5"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klep se objavi v Uradnem </w:t>
      </w:r>
      <w:r w:rsidRPr="00DC5F91">
        <w:rPr>
          <w:rFonts w:ascii="Arial" w:eastAsia="Times New Roman" w:hAnsi="Arial" w:cs="Arial"/>
          <w:sz w:val="20"/>
          <w:szCs w:val="20"/>
          <w:lang w:eastAsia="sl-SI"/>
        </w:rPr>
        <w:t>listu RS in</w:t>
      </w:r>
      <w:r w:rsidR="00EC6FF5"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 v svetovnem spletu </w:t>
      </w:r>
      <w:r w:rsidRPr="00DC5F91">
        <w:rPr>
          <w:rFonts w:ascii="Arial" w:eastAsia="Times New Roman" w:hAnsi="Arial" w:cs="Arial"/>
          <w:sz w:val="20"/>
          <w:szCs w:val="20"/>
          <w:lang w:eastAsia="sl-SI"/>
        </w:rPr>
        <w:t>t</w:t>
      </w:r>
      <w:r w:rsidR="00EC6FF5"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er velja </w:t>
      </w:r>
      <w:r w:rsidRPr="00DC5F91">
        <w:rPr>
          <w:rFonts w:ascii="Arial" w:eastAsia="Times New Roman" w:hAnsi="Arial" w:cs="Arial"/>
          <w:sz w:val="20"/>
          <w:szCs w:val="20"/>
          <w:lang w:eastAsia="sl-SI"/>
        </w:rPr>
        <w:t>naslednji dan po objavi.</w:t>
      </w:r>
    </w:p>
    <w:p w:rsidR="00EE5A52" w:rsidRPr="00DC5F91" w:rsidRDefault="00EE5A52" w:rsidP="00DC5F91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A6069" w:rsidRPr="00DC5F91" w:rsidRDefault="00EC6FF5" w:rsidP="00DC5F91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Številka: </w:t>
      </w:r>
    </w:p>
    <w:p w:rsidR="00DF1CB4" w:rsidRPr="00DC5F91" w:rsidRDefault="00EA6069" w:rsidP="00DC5F91">
      <w:pPr>
        <w:pStyle w:val="NoSpacing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sz w:val="20"/>
          <w:szCs w:val="20"/>
          <w:lang w:eastAsia="sl-SI"/>
        </w:rPr>
        <w:t>Laško</w:t>
      </w:r>
      <w:r w:rsidR="00EC6FF5"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DC5F91">
        <w:rPr>
          <w:rFonts w:ascii="Arial" w:eastAsia="Times New Roman" w:hAnsi="Arial" w:cs="Arial"/>
          <w:sz w:val="20"/>
          <w:szCs w:val="20"/>
          <w:lang w:eastAsia="sl-SI"/>
        </w:rPr>
        <w:t xml:space="preserve">dne </w:t>
      </w:r>
    </w:p>
    <w:p w:rsidR="00DF1CB4" w:rsidRPr="00DC5F91" w:rsidRDefault="00DF1CB4" w:rsidP="00DC5F91">
      <w:pPr>
        <w:pStyle w:val="NoSpacing"/>
        <w:ind w:firstLine="5387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sz w:val="20"/>
          <w:szCs w:val="20"/>
          <w:lang w:eastAsia="sl-SI"/>
        </w:rPr>
        <w:t>župan občine Laško</w:t>
      </w:r>
    </w:p>
    <w:p w:rsidR="00DF1CB4" w:rsidRPr="00DC5F91" w:rsidRDefault="00DF1CB4" w:rsidP="00DC5F91">
      <w:pPr>
        <w:pStyle w:val="NoSpacing"/>
        <w:ind w:firstLine="5387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DC5F91">
        <w:rPr>
          <w:rFonts w:ascii="Arial" w:eastAsia="Times New Roman" w:hAnsi="Arial" w:cs="Arial"/>
          <w:sz w:val="20"/>
          <w:szCs w:val="20"/>
          <w:lang w:eastAsia="sl-SI"/>
        </w:rPr>
        <w:t>Franc Zdolšek</w:t>
      </w:r>
    </w:p>
    <w:sectPr w:rsidR="00DF1CB4" w:rsidRPr="00DC5F91" w:rsidSect="00496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F91" w:rsidRDefault="00DC5F91" w:rsidP="000F6543">
      <w:pPr>
        <w:spacing w:after="0" w:line="240" w:lineRule="auto"/>
      </w:pPr>
      <w:r>
        <w:separator/>
      </w:r>
    </w:p>
  </w:endnote>
  <w:endnote w:type="continuationSeparator" w:id="0">
    <w:p w:rsidR="00DC5F91" w:rsidRDefault="00DC5F91" w:rsidP="000F6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F91" w:rsidRDefault="00DC5F91" w:rsidP="000F6543">
      <w:pPr>
        <w:spacing w:after="0" w:line="240" w:lineRule="auto"/>
      </w:pPr>
      <w:r>
        <w:separator/>
      </w:r>
    </w:p>
  </w:footnote>
  <w:footnote w:type="continuationSeparator" w:id="0">
    <w:p w:rsidR="00DC5F91" w:rsidRDefault="00DC5F91" w:rsidP="000F6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4AB8"/>
    <w:multiLevelType w:val="multilevel"/>
    <w:tmpl w:val="534E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695867"/>
    <w:multiLevelType w:val="multilevel"/>
    <w:tmpl w:val="C880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8207B"/>
    <w:multiLevelType w:val="hybridMultilevel"/>
    <w:tmpl w:val="8A22C1B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60609"/>
    <w:multiLevelType w:val="hybridMultilevel"/>
    <w:tmpl w:val="624671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B53D8"/>
    <w:multiLevelType w:val="multilevel"/>
    <w:tmpl w:val="93E8CDF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834CD6"/>
    <w:multiLevelType w:val="multilevel"/>
    <w:tmpl w:val="EECED6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373BC8"/>
    <w:multiLevelType w:val="hybridMultilevel"/>
    <w:tmpl w:val="44F85D2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1F3475"/>
    <w:multiLevelType w:val="hybridMultilevel"/>
    <w:tmpl w:val="44AE21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7D37C2"/>
    <w:multiLevelType w:val="hybridMultilevel"/>
    <w:tmpl w:val="9ED26E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366770"/>
    <w:multiLevelType w:val="hybridMultilevel"/>
    <w:tmpl w:val="C4E8AA0E"/>
    <w:lvl w:ilvl="0" w:tplc="06CCFB8C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FF5"/>
    <w:rsid w:val="00060A1B"/>
    <w:rsid w:val="000F6543"/>
    <w:rsid w:val="0012245D"/>
    <w:rsid w:val="001360B5"/>
    <w:rsid w:val="003A0925"/>
    <w:rsid w:val="004459CF"/>
    <w:rsid w:val="0049626C"/>
    <w:rsid w:val="00730C49"/>
    <w:rsid w:val="0080718B"/>
    <w:rsid w:val="00A46475"/>
    <w:rsid w:val="00C71FA7"/>
    <w:rsid w:val="00D2129D"/>
    <w:rsid w:val="00D63A3F"/>
    <w:rsid w:val="00DC5F91"/>
    <w:rsid w:val="00DF1CB4"/>
    <w:rsid w:val="00EA6069"/>
    <w:rsid w:val="00EC6FF5"/>
    <w:rsid w:val="00EE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6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EC6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6FF5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C6FF5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EC6FF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6F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officialgazettetitle1">
    <w:name w:val="official_gazette_title_1"/>
    <w:basedOn w:val="DefaultParagraphFont"/>
    <w:rsid w:val="00EC6FF5"/>
  </w:style>
  <w:style w:type="character" w:customStyle="1" w:styleId="officialgazettearticletitle1">
    <w:name w:val="official_gazette_article_title_1"/>
    <w:basedOn w:val="DefaultParagraphFont"/>
    <w:rsid w:val="00EC6FF5"/>
  </w:style>
  <w:style w:type="character" w:customStyle="1" w:styleId="officialgazettedateandlocation1">
    <w:name w:val="official_gazette_date_and_location_1"/>
    <w:basedOn w:val="DefaultParagraphFont"/>
    <w:rsid w:val="00EC6FF5"/>
  </w:style>
  <w:style w:type="character" w:customStyle="1" w:styleId="officialgazettesubscribe1">
    <w:name w:val="official_gazette_subscribe_1"/>
    <w:basedOn w:val="DefaultParagraphFont"/>
    <w:rsid w:val="00EC6FF5"/>
  </w:style>
  <w:style w:type="paragraph" w:styleId="Header">
    <w:name w:val="header"/>
    <w:basedOn w:val="Normal"/>
    <w:link w:val="HeaderChar"/>
    <w:uiPriority w:val="99"/>
    <w:semiHidden/>
    <w:unhideWhenUsed/>
    <w:rsid w:val="000F65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54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0F65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54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0287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13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6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106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2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0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2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4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257E8-3FFC-44D2-A264-22B33C82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Links>
    <vt:vector size="12" baseType="variant">
      <vt:variant>
        <vt:i4>6357098</vt:i4>
      </vt:variant>
      <vt:variant>
        <vt:i4>3</vt:i4>
      </vt:variant>
      <vt:variant>
        <vt:i4>0</vt:i4>
      </vt:variant>
      <vt:variant>
        <vt:i4>5</vt:i4>
      </vt:variant>
      <vt:variant>
        <vt:lpwstr>https://www.sentrupert.si/</vt:lpwstr>
      </vt:variant>
      <vt:variant>
        <vt:lpwstr/>
      </vt:variant>
      <vt:variant>
        <vt:i4>524377</vt:i4>
      </vt:variant>
      <vt:variant>
        <vt:i4>0</vt:i4>
      </vt:variant>
      <vt:variant>
        <vt:i4>0</vt:i4>
      </vt:variant>
      <vt:variant>
        <vt:i4>5</vt:i4>
      </vt:variant>
      <vt:variant>
        <vt:lpwstr>https://www.e-obcina.si/objava/139618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katarinad</cp:lastModifiedBy>
  <cp:revision>4</cp:revision>
  <dcterms:created xsi:type="dcterms:W3CDTF">2022-04-13T13:26:00Z</dcterms:created>
  <dcterms:modified xsi:type="dcterms:W3CDTF">2022-04-14T12:42:00Z</dcterms:modified>
</cp:coreProperties>
</file>