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B042D0">
        <w:rPr>
          <w:rFonts w:ascii="Arial" w:hAnsi="Arial" w:cs="Arial"/>
          <w:color w:val="000000"/>
          <w:sz w:val="20"/>
          <w:szCs w:val="20"/>
        </w:rPr>
        <w:t>20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AD08B5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Asfaltiranje cestn</w:t>
            </w:r>
            <w:r w:rsidR="00B042D0">
              <w:rPr>
                <w:rFonts w:ascii="Arial" w:hAnsi="Arial" w:cs="Arial"/>
                <w:b/>
              </w:rPr>
              <w:t>ega</w:t>
            </w:r>
            <w:r>
              <w:rPr>
                <w:rFonts w:ascii="Arial" w:hAnsi="Arial" w:cs="Arial"/>
                <w:b/>
              </w:rPr>
              <w:t xml:space="preserve"> odsek</w:t>
            </w:r>
            <w:r w:rsidR="00B042D0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042D0">
              <w:rPr>
                <w:rFonts w:ascii="Arial" w:hAnsi="Arial" w:cs="Arial"/>
                <w:b/>
              </w:rPr>
              <w:t>JP 700021 Zidani Most – Širje – G. Brezno – Lukovica</w:t>
            </w:r>
            <w:bookmarkStart w:id="0" w:name="_GoBack"/>
            <w:bookmarkEnd w:id="0"/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59" w:rsidRDefault="00197C59">
      <w:r>
        <w:separator/>
      </w:r>
    </w:p>
  </w:endnote>
  <w:endnote w:type="continuationSeparator" w:id="0">
    <w:p w:rsidR="00197C59" w:rsidRDefault="001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B042D0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59" w:rsidRDefault="00197C59">
      <w:r>
        <w:separator/>
      </w:r>
    </w:p>
  </w:footnote>
  <w:footnote w:type="continuationSeparator" w:id="0">
    <w:p w:rsidR="00197C59" w:rsidRDefault="001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97C59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C7A5C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E78FE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08B5"/>
    <w:rsid w:val="00AD4672"/>
    <w:rsid w:val="00AE4D79"/>
    <w:rsid w:val="00AE686A"/>
    <w:rsid w:val="00B03C59"/>
    <w:rsid w:val="00B042D0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3558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03211E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0BFF-CD54-4FD7-AD64-E81EC7E1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21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1534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15</cp:revision>
  <cp:lastPrinted>2018-09-10T07:50:00Z</cp:lastPrinted>
  <dcterms:created xsi:type="dcterms:W3CDTF">2021-12-29T08:14:00Z</dcterms:created>
  <dcterms:modified xsi:type="dcterms:W3CDTF">2022-10-20T12:24:00Z</dcterms:modified>
</cp:coreProperties>
</file>